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bCs w:val="1"/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Break-out room A2 04/21: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bCs w:val="1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bCs w:val="1"/>
          <w:color w:val="242424"/>
          <w:sz w:val="24"/>
          <w:szCs w:val="24"/>
        </w:rPr>
      </w:pPr>
      <w:r w:rsidDel="00000000" w:rsidR="00000000" w:rsidRPr="00000000">
        <w:rPr>
          <w:b w:val="1"/>
          <w:bCs w:val="1"/>
          <w:color w:val="242424"/>
          <w:sz w:val="24"/>
          <w:szCs w:val="24"/>
          <w:rtl w:val="0"/>
        </w:rPr>
        <w:t xml:space="preserve">Trustworthy and Human-Centric AI Systems</w:t>
      </w:r>
    </w:p>
    <w:p w:rsidR="00000000" w:rsidDel="00000000" w:rsidP="00000000" w:rsidRDefault="00000000" w:rsidRPr="00000000" w14:paraId="00000004">
      <w:pPr>
        <w:shd w:fill="ffffff" w:val="clear"/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Moderator: Krzysztof Lipiec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Commercialisation – Key Takeaways from Audience Discussion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discussion from participants focused less on specific tools and more on </w:t>
      </w:r>
      <w:r w:rsidDel="00000000" w:rsidR="00000000" w:rsidRPr="00000000">
        <w:rPr>
          <w:b w:val="1"/>
          <w:bCs w:val="1"/>
          <w:rtl w:val="0"/>
        </w:rPr>
        <w:t xml:space="preserve">structural and human challenges</w:t>
      </w:r>
      <w:r w:rsidDel="00000000" w:rsidR="00000000" w:rsidRPr="00000000">
        <w:rPr>
          <w:rtl w:val="0"/>
        </w:rPr>
        <w:t xml:space="preserve"> in moving from research to market.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key point was that </w:t>
      </w:r>
      <w:r w:rsidDel="00000000" w:rsidR="00000000" w:rsidRPr="00000000">
        <w:rPr>
          <w:b w:val="1"/>
          <w:bCs w:val="1"/>
          <w:rtl w:val="0"/>
        </w:rPr>
        <w:t xml:space="preserve">results must be “wanted” by the market</w:t>
      </w:r>
      <w:r w:rsidDel="00000000" w:rsidR="00000000" w:rsidRPr="00000000">
        <w:rPr>
          <w:rtl w:val="0"/>
        </w:rPr>
        <w:t xml:space="preserve">, but this is difficult to plan in advance. Research teams often work based on current demand, while future demand is strongly shaped by </w:t>
      </w:r>
      <w:r w:rsidDel="00000000" w:rsidR="00000000" w:rsidRPr="00000000">
        <w:rPr>
          <w:b w:val="1"/>
          <w:bCs w:val="1"/>
          <w:rtl w:val="0"/>
        </w:rPr>
        <w:t xml:space="preserve">regulation and policy</w:t>
      </w:r>
      <w:r w:rsidDel="00000000" w:rsidR="00000000" w:rsidRPr="00000000">
        <w:rPr>
          <w:rtl w:val="0"/>
        </w:rPr>
        <w:t xml:space="preserve">. This creates uncertainty, especially for research ventures trying to anticipate market needs. On the other hand, current research may become relevant in the future even if we don’t see a business model for the results yet.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same time, several voices stressed that this is </w:t>
      </w:r>
      <w:r w:rsidDel="00000000" w:rsidR="00000000" w:rsidRPr="00000000">
        <w:rPr>
          <w:b w:val="1"/>
          <w:bCs w:val="1"/>
          <w:rtl w:val="0"/>
        </w:rPr>
        <w:t xml:space="preserve">not only a technology problem, but a system and policy problem</w:t>
      </w:r>
      <w:r w:rsidDel="00000000" w:rsidR="00000000" w:rsidRPr="00000000">
        <w:rPr>
          <w:rtl w:val="0"/>
        </w:rPr>
        <w:t xml:space="preserve">. Moving from research to business is not just “more difficult” – it is </w:t>
      </w:r>
      <w:r w:rsidDel="00000000" w:rsidR="00000000" w:rsidRPr="00000000">
        <w:rPr>
          <w:b w:val="1"/>
          <w:bCs w:val="1"/>
          <w:rtl w:val="0"/>
        </w:rPr>
        <w:t xml:space="preserve">a different type of work</w:t>
      </w:r>
      <w:r w:rsidDel="00000000" w:rsidR="00000000" w:rsidRPr="00000000">
        <w:rPr>
          <w:rtl w:val="0"/>
        </w:rPr>
        <w:t xml:space="preserve">, requiring different skills and roles.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leads to a practical issue: </w:t>
      </w:r>
      <w:r w:rsidDel="00000000" w:rsidR="00000000" w:rsidRPr="00000000">
        <w:rPr>
          <w:b w:val="1"/>
          <w:bCs w:val="1"/>
          <w:rtl w:val="0"/>
        </w:rPr>
        <w:t xml:space="preserve">it is too much for one person or one team to do everything.</w:t>
        <w:br w:type="textWrapping"/>
      </w:r>
      <w:r w:rsidDel="00000000" w:rsidR="00000000" w:rsidRPr="00000000">
        <w:rPr>
          <w:rtl w:val="0"/>
        </w:rPr>
        <w:t xml:space="preserve"> Researchers cannot be expected to fully act as entrepreneurs. There is a need for: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dedicated business roles at early stage of the project (linked perhaps to dissemination and exploitation WPs),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institutional support and funding on higher TRL strongly linked to commercialization results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and programmes that help researchers learn basic commercial skills.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Another important point was the need to </w:t>
      </w:r>
      <w:r w:rsidDel="00000000" w:rsidR="00000000" w:rsidRPr="00000000">
        <w:rPr>
          <w:b w:val="1"/>
          <w:bCs w:val="1"/>
          <w:rtl w:val="0"/>
        </w:rPr>
        <w:t xml:space="preserve">measure progress differently</w:t>
      </w:r>
      <w:r w:rsidDel="00000000" w:rsidR="00000000" w:rsidRPr="00000000">
        <w:rPr>
          <w:rtl w:val="0"/>
        </w:rPr>
        <w:t xml:space="preserve">. Technology readiness alone is not enough. Participants suggested using additional “readiness levels” (e.g. market, business, organisational readiness, investment readiness).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also a strong message that </w:t>
      </w:r>
      <w:r w:rsidDel="00000000" w:rsidR="00000000" w:rsidRPr="00000000">
        <w:rPr>
          <w:b w:val="1"/>
          <w:bCs w:val="1"/>
          <w:rtl w:val="0"/>
        </w:rPr>
        <w:t xml:space="preserve">fundamental research remains essential</w:t>
      </w:r>
      <w:r w:rsidDel="00000000" w:rsidR="00000000" w:rsidRPr="00000000">
        <w:rPr>
          <w:rtl w:val="0"/>
        </w:rPr>
        <w:t xml:space="preserve">. Not everything should be driven only by short-term application. The challenge is to create better links between fundamental and applied work, not to replace one with the other.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